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0B" w:rsidRDefault="00CD380B"/>
    <w:p w:rsidR="00206227" w:rsidRPr="00206227" w:rsidRDefault="00206227" w:rsidP="00206227">
      <w:pPr>
        <w:shd w:val="clear" w:color="auto" w:fill="FFFFFF"/>
        <w:spacing w:after="120" w:line="240" w:lineRule="auto"/>
        <w:outlineLvl w:val="1"/>
        <w:rPr>
          <w:rFonts w:ascii="Arial" w:eastAsia="Times New Roman" w:hAnsi="Arial" w:cs="Arial"/>
          <w:color w:val="3C3C3C"/>
          <w:kern w:val="36"/>
          <w:sz w:val="15"/>
          <w:szCs w:val="15"/>
          <w:lang w:eastAsia="es-ES"/>
        </w:rPr>
      </w:pPr>
      <w:r>
        <w:rPr>
          <w:rFonts w:ascii="Arial" w:eastAsia="Times New Roman" w:hAnsi="Arial" w:cs="Arial"/>
          <w:noProof/>
          <w:color w:val="0A5C83"/>
          <w:kern w:val="36"/>
          <w:sz w:val="15"/>
          <w:szCs w:val="15"/>
          <w:lang w:eastAsia="es-ES"/>
        </w:rPr>
        <w:drawing>
          <wp:inline distT="0" distB="0" distL="0" distR="0">
            <wp:extent cx="2146300" cy="723900"/>
            <wp:effectExtent l="19050" t="0" r="6350" b="0"/>
            <wp:docPr id="17" name="logo" descr="SINC - Servicio de información y noticias científicas">
              <a:hlinkClick xmlns:a="http://schemas.openxmlformats.org/drawingml/2006/main" r:id="rId5" tooltip="&quot;Ir a la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INC - Servicio de información y noticias científicas">
                      <a:hlinkClick r:id="rId5" tooltip="&quot;Ir a la home&quot;"/>
                    </pic:cNvPr>
                    <pic:cNvPicPr>
                      <a:picLocks noChangeAspect="1" noChangeArrowheads="1"/>
                    </pic:cNvPicPr>
                  </pic:nvPicPr>
                  <pic:blipFill>
                    <a:blip r:embed="rId6" cstate="print"/>
                    <a:srcRect/>
                    <a:stretch>
                      <a:fillRect/>
                    </a:stretch>
                  </pic:blipFill>
                  <pic:spPr bwMode="auto">
                    <a:xfrm>
                      <a:off x="0" y="0"/>
                      <a:ext cx="2146300" cy="723900"/>
                    </a:xfrm>
                    <a:prstGeom prst="rect">
                      <a:avLst/>
                    </a:prstGeom>
                    <a:noFill/>
                    <a:ln w="9525">
                      <a:noFill/>
                      <a:miter lim="800000"/>
                      <a:headEnd/>
                      <a:tailEnd/>
                    </a:ln>
                  </pic:spPr>
                </pic:pic>
              </a:graphicData>
            </a:graphic>
          </wp:inline>
        </w:drawing>
      </w:r>
    </w:p>
    <w:p w:rsidR="00206227" w:rsidRDefault="00206227">
      <w:r>
        <w:rPr>
          <w:rStyle w:val="tipo19"/>
          <w:rFonts w:ascii="Arial" w:hAnsi="Arial" w:cs="Arial"/>
          <w:sz w:val="17"/>
          <w:szCs w:val="17"/>
        </w:rPr>
        <w:t>SINC</w:t>
      </w:r>
      <w:r>
        <w:rPr>
          <w:rFonts w:ascii="Arial" w:hAnsi="Arial" w:cs="Arial"/>
          <w:sz w:val="17"/>
          <w:szCs w:val="17"/>
        </w:rPr>
        <w:t xml:space="preserve"> </w:t>
      </w:r>
      <w:r>
        <w:rPr>
          <w:rStyle w:val="barra1"/>
          <w:rFonts w:ascii="Arial" w:hAnsi="Arial" w:cs="Arial"/>
          <w:sz w:val="17"/>
          <w:szCs w:val="17"/>
        </w:rPr>
        <w:t>|</w:t>
      </w:r>
      <w:r>
        <w:rPr>
          <w:rFonts w:ascii="Arial" w:hAnsi="Arial" w:cs="Arial"/>
          <w:sz w:val="17"/>
          <w:szCs w:val="17"/>
        </w:rPr>
        <w:t xml:space="preserve"> 14 junio 2012</w:t>
      </w:r>
    </w:p>
    <w:p w:rsidR="00206227" w:rsidRDefault="00206227"/>
    <w:p w:rsidR="00206227" w:rsidRPr="00206227" w:rsidRDefault="00206227" w:rsidP="00206227">
      <w:pPr>
        <w:spacing w:after="120" w:line="240" w:lineRule="auto"/>
        <w:outlineLvl w:val="0"/>
        <w:rPr>
          <w:rFonts w:ascii="Arial" w:eastAsia="Times New Roman" w:hAnsi="Arial" w:cs="Arial"/>
          <w:color w:val="3C3C3C"/>
          <w:kern w:val="36"/>
          <w:sz w:val="21"/>
          <w:szCs w:val="21"/>
          <w:lang w:eastAsia="es-ES"/>
        </w:rPr>
      </w:pPr>
      <w:r w:rsidRPr="00206227">
        <w:rPr>
          <w:rFonts w:ascii="Arial" w:eastAsia="Times New Roman" w:hAnsi="Arial" w:cs="Arial"/>
          <w:color w:val="3C3C3C"/>
          <w:kern w:val="36"/>
          <w:sz w:val="21"/>
          <w:szCs w:val="21"/>
          <w:lang w:eastAsia="es-ES"/>
        </w:rPr>
        <w:t xml:space="preserve">Nuevo </w:t>
      </w:r>
      <w:proofErr w:type="spellStart"/>
      <w:r w:rsidRPr="00206227">
        <w:rPr>
          <w:rFonts w:ascii="Arial" w:eastAsia="Times New Roman" w:hAnsi="Arial" w:cs="Arial"/>
          <w:color w:val="3C3C3C"/>
          <w:kern w:val="36"/>
          <w:sz w:val="21"/>
          <w:szCs w:val="21"/>
          <w:lang w:eastAsia="es-ES"/>
        </w:rPr>
        <w:t>biosensor</w:t>
      </w:r>
      <w:proofErr w:type="spellEnd"/>
      <w:r w:rsidRPr="00206227">
        <w:rPr>
          <w:rFonts w:ascii="Arial" w:eastAsia="Times New Roman" w:hAnsi="Arial" w:cs="Arial"/>
          <w:color w:val="3C3C3C"/>
          <w:kern w:val="36"/>
          <w:sz w:val="21"/>
          <w:szCs w:val="21"/>
          <w:lang w:eastAsia="es-ES"/>
        </w:rPr>
        <w:t xml:space="preserve"> para el análisis de aguas continentales</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Investigadores de la Universidad Complutense de Madrid han desarrollado un </w:t>
      </w:r>
      <w:proofErr w:type="spellStart"/>
      <w:r w:rsidRPr="00206227">
        <w:rPr>
          <w:rFonts w:ascii="Arial" w:eastAsia="Times New Roman" w:hAnsi="Arial" w:cs="Arial"/>
          <w:color w:val="3C3C3C"/>
          <w:sz w:val="15"/>
          <w:szCs w:val="15"/>
          <w:lang w:eastAsia="es-ES"/>
        </w:rPr>
        <w:t>biosensor</w:t>
      </w:r>
      <w:proofErr w:type="spellEnd"/>
      <w:r w:rsidRPr="00206227">
        <w:rPr>
          <w:rFonts w:ascii="Arial" w:eastAsia="Times New Roman" w:hAnsi="Arial" w:cs="Arial"/>
          <w:color w:val="3C3C3C"/>
          <w:sz w:val="15"/>
          <w:szCs w:val="15"/>
          <w:lang w:eastAsia="es-ES"/>
        </w:rPr>
        <w:t xml:space="preserve"> óptico para analizar en aguas dulces las </w:t>
      </w:r>
      <w:proofErr w:type="spellStart"/>
      <w:r w:rsidRPr="00206227">
        <w:rPr>
          <w:rFonts w:ascii="Arial" w:eastAsia="Times New Roman" w:hAnsi="Arial" w:cs="Arial"/>
          <w:color w:val="3C3C3C"/>
          <w:sz w:val="15"/>
          <w:szCs w:val="15"/>
          <w:lang w:eastAsia="es-ES"/>
        </w:rPr>
        <w:t>microcistinas</w:t>
      </w:r>
      <w:proofErr w:type="spellEnd"/>
      <w:r w:rsidRPr="00206227">
        <w:rPr>
          <w:rFonts w:ascii="Arial" w:eastAsia="Times New Roman" w:hAnsi="Arial" w:cs="Arial"/>
          <w:color w:val="3C3C3C"/>
          <w:sz w:val="15"/>
          <w:szCs w:val="15"/>
          <w:lang w:eastAsia="es-ES"/>
        </w:rPr>
        <w:t xml:space="preserve">, unas toxinas que producen las cianobacterias. El estudio se publica en la revista </w:t>
      </w:r>
      <w:proofErr w:type="spellStart"/>
      <w:r w:rsidRPr="00206227">
        <w:rPr>
          <w:rFonts w:ascii="Arial" w:eastAsia="Times New Roman" w:hAnsi="Arial" w:cs="Arial"/>
          <w:i/>
          <w:iCs/>
          <w:color w:val="3C3C3C"/>
          <w:sz w:val="15"/>
          <w:lang w:eastAsia="es-ES"/>
        </w:rPr>
        <w:t>Biosensors</w:t>
      </w:r>
      <w:proofErr w:type="spellEnd"/>
      <w:r w:rsidRPr="00206227">
        <w:rPr>
          <w:rFonts w:ascii="Arial" w:eastAsia="Times New Roman" w:hAnsi="Arial" w:cs="Arial"/>
          <w:i/>
          <w:iCs/>
          <w:color w:val="3C3C3C"/>
          <w:sz w:val="15"/>
          <w:lang w:eastAsia="es-ES"/>
        </w:rPr>
        <w:t xml:space="preserve"> &amp; </w:t>
      </w:r>
      <w:proofErr w:type="spellStart"/>
      <w:r w:rsidRPr="00206227">
        <w:rPr>
          <w:rFonts w:ascii="Arial" w:eastAsia="Times New Roman" w:hAnsi="Arial" w:cs="Arial"/>
          <w:i/>
          <w:iCs/>
          <w:color w:val="3C3C3C"/>
          <w:sz w:val="15"/>
          <w:lang w:eastAsia="es-ES"/>
        </w:rPr>
        <w:t>Bioelectronics</w:t>
      </w:r>
      <w:proofErr w:type="spellEnd"/>
      <w:r w:rsidRPr="00206227">
        <w:rPr>
          <w:rFonts w:ascii="Arial" w:eastAsia="Times New Roman" w:hAnsi="Arial" w:cs="Arial"/>
          <w:color w:val="3C3C3C"/>
          <w:sz w:val="15"/>
          <w:szCs w:val="15"/>
          <w:lang w:eastAsia="es-ES"/>
        </w:rPr>
        <w:t>.</w:t>
      </w:r>
    </w:p>
    <w:p w:rsidR="00206227" w:rsidRPr="00206227" w:rsidRDefault="00555AA1" w:rsidP="00206227">
      <w:pPr>
        <w:numPr>
          <w:ilvl w:val="0"/>
          <w:numId w:val="2"/>
        </w:numPr>
        <w:spacing w:after="120" w:line="300" w:lineRule="atLeast"/>
        <w:ind w:left="600"/>
        <w:rPr>
          <w:rFonts w:ascii="Arial" w:eastAsia="Times New Roman" w:hAnsi="Arial" w:cs="Arial"/>
          <w:color w:val="3C3C3C"/>
          <w:sz w:val="15"/>
          <w:szCs w:val="15"/>
          <w:lang w:eastAsia="es-ES"/>
        </w:rPr>
      </w:pPr>
      <w:hyperlink r:id="rId7" w:tooltip="fotografías" w:history="1">
        <w:r w:rsidR="00206227" w:rsidRPr="00206227">
          <w:rPr>
            <w:rFonts w:ascii="Arial" w:eastAsia="Times New Roman" w:hAnsi="Arial" w:cs="Arial"/>
            <w:color w:val="0A5C83"/>
            <w:sz w:val="15"/>
            <w:lang w:eastAsia="es-ES"/>
          </w:rPr>
          <w:t>FOTOGRAFÍAS</w:t>
        </w:r>
      </w:hyperlink>
      <w:r w:rsidR="00206227" w:rsidRPr="00206227">
        <w:rPr>
          <w:rFonts w:ascii="Arial" w:eastAsia="Times New Roman" w:hAnsi="Arial" w:cs="Arial"/>
          <w:color w:val="3C3C3C"/>
          <w:sz w:val="15"/>
          <w:szCs w:val="15"/>
          <w:lang w:eastAsia="es-ES"/>
        </w:rPr>
        <w:t xml:space="preserve"> </w:t>
      </w:r>
    </w:p>
    <w:p w:rsidR="00206227" w:rsidRPr="00206227" w:rsidRDefault="00206227" w:rsidP="00206227">
      <w:pPr>
        <w:spacing w:after="0" w:line="240" w:lineRule="auto"/>
        <w:rPr>
          <w:rFonts w:ascii="Arial" w:eastAsia="Times New Roman" w:hAnsi="Arial" w:cs="Arial"/>
          <w:color w:val="3C3C3C"/>
          <w:sz w:val="15"/>
          <w:szCs w:val="15"/>
          <w:lang w:eastAsia="es-ES"/>
        </w:rPr>
      </w:pPr>
      <w:r>
        <w:rPr>
          <w:rFonts w:ascii="Arial" w:eastAsia="Times New Roman" w:hAnsi="Arial" w:cs="Arial"/>
          <w:noProof/>
          <w:color w:val="3C3C3C"/>
          <w:sz w:val="15"/>
          <w:szCs w:val="15"/>
          <w:lang w:eastAsia="es-ES"/>
        </w:rPr>
        <w:drawing>
          <wp:inline distT="0" distB="0" distL="0" distR="0">
            <wp:extent cx="5492750" cy="3949167"/>
            <wp:effectExtent l="19050" t="0" r="0" b="0"/>
            <wp:docPr id="8" name="Imagen 8" descr="El biosensor óptico sirve para analizar en aguas dulces las microcistinas. Imagen: Jeremyde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 biosensor óptico sirve para analizar en aguas dulces las microcistinas. Imagen: Jeremydeades"/>
                    <pic:cNvPicPr>
                      <a:picLocks noChangeAspect="1" noChangeArrowheads="1"/>
                    </pic:cNvPicPr>
                  </pic:nvPicPr>
                  <pic:blipFill>
                    <a:blip r:embed="rId8" cstate="print"/>
                    <a:srcRect/>
                    <a:stretch>
                      <a:fillRect/>
                    </a:stretch>
                  </pic:blipFill>
                  <pic:spPr bwMode="auto">
                    <a:xfrm>
                      <a:off x="0" y="0"/>
                      <a:ext cx="5501206" cy="3955247"/>
                    </a:xfrm>
                    <a:prstGeom prst="rect">
                      <a:avLst/>
                    </a:prstGeom>
                    <a:noFill/>
                    <a:ln w="9525">
                      <a:noFill/>
                      <a:miter lim="800000"/>
                      <a:headEnd/>
                      <a:tailEnd/>
                    </a:ln>
                  </pic:spPr>
                </pic:pic>
              </a:graphicData>
            </a:graphic>
          </wp:inline>
        </w:drawing>
      </w:r>
    </w:p>
    <w:p w:rsidR="00206227" w:rsidRPr="00206227" w:rsidRDefault="00206227" w:rsidP="00206227">
      <w:pPr>
        <w:spacing w:before="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Procedimiento de medida. Imagen: UCM.</w:t>
      </w:r>
    </w:p>
    <w:p w:rsidR="00206227" w:rsidRPr="00206227" w:rsidRDefault="00206227" w:rsidP="00206227">
      <w:pPr>
        <w:spacing w:line="300" w:lineRule="atLeast"/>
        <w:rPr>
          <w:rFonts w:ascii="Arial" w:eastAsia="Times New Roman" w:hAnsi="Arial" w:cs="Arial"/>
          <w:color w:val="4C9BC1"/>
          <w:sz w:val="17"/>
          <w:szCs w:val="17"/>
          <w:lang w:eastAsia="es-ES"/>
        </w:rPr>
      </w:pPr>
      <w:r w:rsidRPr="00206227">
        <w:rPr>
          <w:rFonts w:ascii="Arial" w:eastAsia="Times New Roman" w:hAnsi="Arial" w:cs="Arial"/>
          <w:color w:val="4C9BC1"/>
          <w:sz w:val="17"/>
          <w:lang w:eastAsia="es-ES"/>
        </w:rPr>
        <w:t>SINC</w:t>
      </w:r>
      <w:r w:rsidRPr="00206227">
        <w:rPr>
          <w:rFonts w:ascii="Arial" w:eastAsia="Times New Roman" w:hAnsi="Arial" w:cs="Arial"/>
          <w:color w:val="4C9BC1"/>
          <w:sz w:val="17"/>
          <w:szCs w:val="17"/>
          <w:lang w:eastAsia="es-ES"/>
        </w:rPr>
        <w:t xml:space="preserve"> </w:t>
      </w:r>
      <w:r w:rsidRPr="00206227">
        <w:rPr>
          <w:rFonts w:ascii="Arial" w:eastAsia="Times New Roman" w:hAnsi="Arial" w:cs="Arial"/>
          <w:color w:val="4C9BC1"/>
          <w:sz w:val="17"/>
          <w:lang w:eastAsia="es-ES"/>
        </w:rPr>
        <w:t>|</w:t>
      </w:r>
      <w:r w:rsidRPr="00206227">
        <w:rPr>
          <w:rFonts w:ascii="Arial" w:eastAsia="Times New Roman" w:hAnsi="Arial" w:cs="Arial"/>
          <w:color w:val="4C9BC1"/>
          <w:sz w:val="17"/>
          <w:szCs w:val="17"/>
          <w:lang w:eastAsia="es-ES"/>
        </w:rPr>
        <w:t xml:space="preserve"> 14 junio 2012 09:00</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El Grupo de sensores químicos ópticos y fotoquímica aplicada (</w:t>
      </w:r>
      <w:hyperlink r:id="rId9" w:tgtFrame="_blank" w:history="1">
        <w:r w:rsidRPr="00206227">
          <w:rPr>
            <w:rFonts w:ascii="Arial" w:eastAsia="Times New Roman" w:hAnsi="Arial" w:cs="Arial"/>
            <w:color w:val="0A5C83"/>
            <w:sz w:val="15"/>
            <w:lang w:eastAsia="es-ES"/>
          </w:rPr>
          <w:t>GSOLFA</w:t>
        </w:r>
      </w:hyperlink>
      <w:r w:rsidRPr="00206227">
        <w:rPr>
          <w:rFonts w:ascii="Arial" w:eastAsia="Times New Roman" w:hAnsi="Arial" w:cs="Arial"/>
          <w:color w:val="3C3C3C"/>
          <w:sz w:val="15"/>
          <w:szCs w:val="15"/>
          <w:lang w:eastAsia="es-ES"/>
        </w:rPr>
        <w:t xml:space="preserve">) de la Facultad de Ciencias Químicas de Universidad Complutense de Madrid (UCM) ha desarrollado un </w:t>
      </w:r>
      <w:proofErr w:type="spellStart"/>
      <w:r w:rsidRPr="00206227">
        <w:rPr>
          <w:rFonts w:ascii="Arial" w:eastAsia="Times New Roman" w:hAnsi="Arial" w:cs="Arial"/>
          <w:color w:val="3C3C3C"/>
          <w:sz w:val="15"/>
          <w:szCs w:val="15"/>
          <w:lang w:eastAsia="es-ES"/>
        </w:rPr>
        <w:t>biosensor</w:t>
      </w:r>
      <w:proofErr w:type="spellEnd"/>
      <w:r w:rsidRPr="00206227">
        <w:rPr>
          <w:rFonts w:ascii="Arial" w:eastAsia="Times New Roman" w:hAnsi="Arial" w:cs="Arial"/>
          <w:color w:val="3C3C3C"/>
          <w:sz w:val="15"/>
          <w:szCs w:val="15"/>
          <w:lang w:eastAsia="es-ES"/>
        </w:rPr>
        <w:t xml:space="preserve"> óptico, basado en matrices (“</w:t>
      </w:r>
      <w:proofErr w:type="spellStart"/>
      <w:r w:rsidRPr="00206227">
        <w:rPr>
          <w:rFonts w:ascii="Arial" w:eastAsia="Times New Roman" w:hAnsi="Arial" w:cs="Arial"/>
          <w:color w:val="3C3C3C"/>
          <w:sz w:val="15"/>
          <w:szCs w:val="15"/>
          <w:lang w:eastAsia="es-ES"/>
        </w:rPr>
        <w:t>microarrays</w:t>
      </w:r>
      <w:proofErr w:type="spellEnd"/>
      <w:r w:rsidRPr="00206227">
        <w:rPr>
          <w:rFonts w:ascii="Arial" w:eastAsia="Times New Roman" w:hAnsi="Arial" w:cs="Arial"/>
          <w:color w:val="3C3C3C"/>
          <w:sz w:val="15"/>
          <w:szCs w:val="15"/>
          <w:lang w:eastAsia="es-ES"/>
        </w:rPr>
        <w:t>”) de anticuerpos, para determinar in situ la calidad de aguas continentales.</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En concreto analiza las </w:t>
      </w:r>
      <w:proofErr w:type="spellStart"/>
      <w:r w:rsidRPr="00206227">
        <w:rPr>
          <w:rFonts w:ascii="Arial" w:eastAsia="Times New Roman" w:hAnsi="Arial" w:cs="Arial"/>
          <w:color w:val="3C3C3C"/>
          <w:sz w:val="15"/>
          <w:szCs w:val="15"/>
          <w:lang w:eastAsia="es-ES"/>
        </w:rPr>
        <w:t>microcistinas</w:t>
      </w:r>
      <w:proofErr w:type="spellEnd"/>
      <w:r w:rsidRPr="00206227">
        <w:rPr>
          <w:rFonts w:ascii="Arial" w:eastAsia="Times New Roman" w:hAnsi="Arial" w:cs="Arial"/>
          <w:color w:val="3C3C3C"/>
          <w:sz w:val="15"/>
          <w:szCs w:val="15"/>
          <w:lang w:eastAsia="es-ES"/>
        </w:rPr>
        <w:t xml:space="preserve"> tipo LR  (MC-LR), las toxinas más frecuentes en las proliferaciones de </w:t>
      </w:r>
      <w:proofErr w:type="spellStart"/>
      <w:r w:rsidRPr="00206227">
        <w:rPr>
          <w:rFonts w:ascii="Arial" w:eastAsia="Times New Roman" w:hAnsi="Arial" w:cs="Arial"/>
          <w:color w:val="3C3C3C"/>
          <w:sz w:val="15"/>
          <w:szCs w:val="15"/>
          <w:lang w:eastAsia="es-ES"/>
        </w:rPr>
        <w:t>cianobacterías</w:t>
      </w:r>
      <w:proofErr w:type="spellEnd"/>
      <w:r w:rsidRPr="00206227">
        <w:rPr>
          <w:rFonts w:ascii="Arial" w:eastAsia="Times New Roman" w:hAnsi="Arial" w:cs="Arial"/>
          <w:color w:val="3C3C3C"/>
          <w:sz w:val="15"/>
          <w:szCs w:val="15"/>
          <w:lang w:eastAsia="es-ES"/>
        </w:rPr>
        <w:t xml:space="preserve"> (microorganismos antes conocidos como 'algas verde-azuladas').</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lastRenderedPageBreak/>
        <w:t xml:space="preserve">El análisis está basado en un </w:t>
      </w:r>
      <w:proofErr w:type="spellStart"/>
      <w:r w:rsidRPr="00206227">
        <w:rPr>
          <w:rFonts w:ascii="Arial" w:eastAsia="Times New Roman" w:hAnsi="Arial" w:cs="Arial"/>
          <w:color w:val="3C3C3C"/>
          <w:sz w:val="15"/>
          <w:szCs w:val="15"/>
          <w:lang w:eastAsia="es-ES"/>
        </w:rPr>
        <w:t>inmunoensayo</w:t>
      </w:r>
      <w:proofErr w:type="spellEnd"/>
      <w:r w:rsidRPr="00206227">
        <w:rPr>
          <w:rFonts w:ascii="Arial" w:eastAsia="Times New Roman" w:hAnsi="Arial" w:cs="Arial"/>
          <w:color w:val="3C3C3C"/>
          <w:sz w:val="15"/>
          <w:szCs w:val="15"/>
          <w:lang w:eastAsia="es-ES"/>
        </w:rPr>
        <w:t xml:space="preserve"> de tipo 'competitivo'. La </w:t>
      </w:r>
      <w:proofErr w:type="spellStart"/>
      <w:r w:rsidRPr="00206227">
        <w:rPr>
          <w:rFonts w:ascii="Arial" w:eastAsia="Times New Roman" w:hAnsi="Arial" w:cs="Arial"/>
          <w:color w:val="3C3C3C"/>
          <w:sz w:val="15"/>
          <w:szCs w:val="15"/>
          <w:lang w:eastAsia="es-ES"/>
        </w:rPr>
        <w:t>cianotoxina</w:t>
      </w:r>
      <w:proofErr w:type="spellEnd"/>
      <w:r w:rsidRPr="00206227">
        <w:rPr>
          <w:rFonts w:ascii="Arial" w:eastAsia="Times New Roman" w:hAnsi="Arial" w:cs="Arial"/>
          <w:color w:val="3C3C3C"/>
          <w:sz w:val="15"/>
          <w:szCs w:val="15"/>
          <w:lang w:eastAsia="es-ES"/>
        </w:rPr>
        <w:t xml:space="preserve"> presente en la muestra compite con un derivado de la misma, inmovilizado sobre una superficie plana que actúa como guía de onda de la radiación (chip), por los sitios de unión de un anticuerpo selectivo a MC-LR.</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La cantidad de anticuerpo unido a la superficie del chip se evalúa, posteriormente, empleando un anticuerpo secundario marcado con un indicador o sonda fluorescente. Esta interacciona selectivamente con el anticuerpo fijado a la superficie </w:t>
      </w:r>
      <w:proofErr w:type="spellStart"/>
      <w:r w:rsidRPr="00206227">
        <w:rPr>
          <w:rFonts w:ascii="Arial" w:eastAsia="Times New Roman" w:hAnsi="Arial" w:cs="Arial"/>
          <w:color w:val="3C3C3C"/>
          <w:sz w:val="15"/>
          <w:szCs w:val="15"/>
          <w:lang w:eastAsia="es-ES"/>
        </w:rPr>
        <w:t>sensora</w:t>
      </w:r>
      <w:proofErr w:type="spellEnd"/>
      <w:r w:rsidRPr="00206227">
        <w:rPr>
          <w:rFonts w:ascii="Arial" w:eastAsia="Times New Roman" w:hAnsi="Arial" w:cs="Arial"/>
          <w:color w:val="3C3C3C"/>
          <w:sz w:val="15"/>
          <w:szCs w:val="15"/>
          <w:lang w:eastAsia="es-ES"/>
        </w:rPr>
        <w:t>, obteniéndose una señal inversamente proporcional a la concentración de MC-LR presente en la muestra analizada.</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La detección de las </w:t>
      </w:r>
      <w:proofErr w:type="spellStart"/>
      <w:r w:rsidRPr="00206227">
        <w:rPr>
          <w:rFonts w:ascii="Arial" w:eastAsia="Times New Roman" w:hAnsi="Arial" w:cs="Arial"/>
          <w:color w:val="3C3C3C"/>
          <w:sz w:val="15"/>
          <w:szCs w:val="15"/>
          <w:lang w:eastAsia="es-ES"/>
        </w:rPr>
        <w:t>microcistinas</w:t>
      </w:r>
      <w:proofErr w:type="spellEnd"/>
      <w:r w:rsidRPr="00206227">
        <w:rPr>
          <w:rFonts w:ascii="Arial" w:eastAsia="Times New Roman" w:hAnsi="Arial" w:cs="Arial"/>
          <w:color w:val="3C3C3C"/>
          <w:sz w:val="15"/>
          <w:szCs w:val="15"/>
          <w:lang w:eastAsia="es-ES"/>
        </w:rPr>
        <w:t xml:space="preserve"> se lleva a cabo empleando un instrumento que integra, en una unidad portátil, los sistemas de excitación (diodo láser), detección (cámara CCD) y </w:t>
      </w:r>
      <w:proofErr w:type="spellStart"/>
      <w:r w:rsidRPr="00206227">
        <w:rPr>
          <w:rFonts w:ascii="Arial" w:eastAsia="Times New Roman" w:hAnsi="Arial" w:cs="Arial"/>
          <w:color w:val="3C3C3C"/>
          <w:sz w:val="15"/>
          <w:szCs w:val="15"/>
          <w:lang w:eastAsia="es-ES"/>
        </w:rPr>
        <w:t>microfluídico</w:t>
      </w:r>
      <w:proofErr w:type="spellEnd"/>
      <w:r w:rsidRPr="00206227">
        <w:rPr>
          <w:rFonts w:ascii="Arial" w:eastAsia="Times New Roman" w:hAnsi="Arial" w:cs="Arial"/>
          <w:color w:val="3C3C3C"/>
          <w:sz w:val="15"/>
          <w:szCs w:val="15"/>
          <w:lang w:eastAsia="es-ES"/>
        </w:rPr>
        <w:t>. En este instrumento, la radiación procedente del diodo láser incide sobre uno de los bordes del vidrio  -empleado como guía de onda- e ilumina la zona sensible en la que se produce la reacción inmunológica.</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b/>
          <w:bCs/>
          <w:color w:val="3C3C3C"/>
          <w:sz w:val="15"/>
          <w:lang w:eastAsia="es-ES"/>
        </w:rPr>
        <w:t>Evanescente y fluorescente</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La radiación se transmite por reflexión interna originando un campo electromagnético, denominado campo evanescente, que penetra una cierta distancia desde la superficie excitando a las moléculas fluorescentes que se encuentran en la zona sensible. La radiación emitida se mide con una cámara CCD que permite obtener una imagen de la superficie de la guía de onda.</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El proceso de medida es muy simple. El chip </w:t>
      </w:r>
      <w:proofErr w:type="spellStart"/>
      <w:r w:rsidRPr="00206227">
        <w:rPr>
          <w:rFonts w:ascii="Arial" w:eastAsia="Times New Roman" w:hAnsi="Arial" w:cs="Arial"/>
          <w:color w:val="3C3C3C"/>
          <w:sz w:val="15"/>
          <w:szCs w:val="15"/>
          <w:lang w:eastAsia="es-ES"/>
        </w:rPr>
        <w:t>funcionalizado</w:t>
      </w:r>
      <w:proofErr w:type="spellEnd"/>
      <w:r w:rsidRPr="00206227">
        <w:rPr>
          <w:rFonts w:ascii="Arial" w:eastAsia="Times New Roman" w:hAnsi="Arial" w:cs="Arial"/>
          <w:color w:val="3C3C3C"/>
          <w:sz w:val="15"/>
          <w:szCs w:val="15"/>
          <w:lang w:eastAsia="es-ES"/>
        </w:rPr>
        <w:t xml:space="preserve"> se inserta en el equipo de medida haciéndose fluir sobre su superficie las muestras de agua a analizar (hasta 6 muestras), a las que se ha adicionado una concentración constante y conocida del anticuerpo selectivo a MC-LR. Tras la incubación con un trazador fluorescente, se adquiere una imagen de la superficie. La intensidad de la señal fluorescente permite calcular la concentración de </w:t>
      </w:r>
      <w:proofErr w:type="spellStart"/>
      <w:r w:rsidRPr="00206227">
        <w:rPr>
          <w:rFonts w:ascii="Arial" w:eastAsia="Times New Roman" w:hAnsi="Arial" w:cs="Arial"/>
          <w:color w:val="3C3C3C"/>
          <w:sz w:val="15"/>
          <w:szCs w:val="15"/>
          <w:lang w:eastAsia="es-ES"/>
        </w:rPr>
        <w:t>microcistina</w:t>
      </w:r>
      <w:proofErr w:type="spellEnd"/>
      <w:r w:rsidRPr="00206227">
        <w:rPr>
          <w:rFonts w:ascii="Arial" w:eastAsia="Times New Roman" w:hAnsi="Arial" w:cs="Arial"/>
          <w:color w:val="3C3C3C"/>
          <w:sz w:val="15"/>
          <w:szCs w:val="15"/>
          <w:lang w:eastAsia="es-ES"/>
        </w:rPr>
        <w:t xml:space="preserve"> en la muestra.</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El </w:t>
      </w:r>
      <w:proofErr w:type="spellStart"/>
      <w:r w:rsidRPr="00206227">
        <w:rPr>
          <w:rFonts w:ascii="Arial" w:eastAsia="Times New Roman" w:hAnsi="Arial" w:cs="Arial"/>
          <w:color w:val="3C3C3C"/>
          <w:sz w:val="15"/>
          <w:szCs w:val="15"/>
          <w:lang w:eastAsia="es-ES"/>
        </w:rPr>
        <w:t>biosensor</w:t>
      </w:r>
      <w:proofErr w:type="spellEnd"/>
      <w:r w:rsidRPr="00206227">
        <w:rPr>
          <w:rFonts w:ascii="Arial" w:eastAsia="Times New Roman" w:hAnsi="Arial" w:cs="Arial"/>
          <w:color w:val="3C3C3C"/>
          <w:sz w:val="15"/>
          <w:szCs w:val="15"/>
          <w:lang w:eastAsia="es-ES"/>
        </w:rPr>
        <w:t xml:space="preserve"> optimizado presenta un límite de detección de 16 ± 3 </w:t>
      </w:r>
      <w:proofErr w:type="spellStart"/>
      <w:r w:rsidRPr="00206227">
        <w:rPr>
          <w:rFonts w:ascii="Arial" w:eastAsia="Times New Roman" w:hAnsi="Arial" w:cs="Arial"/>
          <w:color w:val="3C3C3C"/>
          <w:sz w:val="15"/>
          <w:szCs w:val="15"/>
          <w:lang w:eastAsia="es-ES"/>
        </w:rPr>
        <w:t>ng</w:t>
      </w:r>
      <w:proofErr w:type="spellEnd"/>
      <w:r w:rsidRPr="00206227">
        <w:rPr>
          <w:rFonts w:ascii="Arial" w:eastAsia="Times New Roman" w:hAnsi="Arial" w:cs="Arial"/>
          <w:color w:val="3C3C3C"/>
          <w:sz w:val="15"/>
          <w:szCs w:val="15"/>
          <w:lang w:eastAsia="es-ES"/>
        </w:rPr>
        <w:t xml:space="preserve">/l y un intervalo dinámico de 0.06 -1.5 µg/l, que incluye el valor guía recomendado por la OMS (1 mg/l). El </w:t>
      </w:r>
      <w:proofErr w:type="spellStart"/>
      <w:r w:rsidRPr="00206227">
        <w:rPr>
          <w:rFonts w:ascii="Arial" w:eastAsia="Times New Roman" w:hAnsi="Arial" w:cs="Arial"/>
          <w:color w:val="3C3C3C"/>
          <w:sz w:val="15"/>
          <w:szCs w:val="15"/>
          <w:lang w:eastAsia="es-ES"/>
        </w:rPr>
        <w:t>microarray</w:t>
      </w:r>
      <w:proofErr w:type="spellEnd"/>
      <w:r w:rsidRPr="00206227">
        <w:rPr>
          <w:rFonts w:ascii="Arial" w:eastAsia="Times New Roman" w:hAnsi="Arial" w:cs="Arial"/>
          <w:color w:val="3C3C3C"/>
          <w:sz w:val="15"/>
          <w:szCs w:val="15"/>
          <w:lang w:eastAsia="es-ES"/>
        </w:rPr>
        <w:t xml:space="preserve"> presenta reactividad cruzada frente a otras </w:t>
      </w:r>
      <w:proofErr w:type="spellStart"/>
      <w:r w:rsidRPr="00206227">
        <w:rPr>
          <w:rFonts w:ascii="Arial" w:eastAsia="Times New Roman" w:hAnsi="Arial" w:cs="Arial"/>
          <w:color w:val="3C3C3C"/>
          <w:sz w:val="15"/>
          <w:szCs w:val="15"/>
          <w:lang w:eastAsia="es-ES"/>
        </w:rPr>
        <w:t>microcistinas</w:t>
      </w:r>
      <w:proofErr w:type="spellEnd"/>
      <w:r w:rsidRPr="00206227">
        <w:rPr>
          <w:rFonts w:ascii="Arial" w:eastAsia="Times New Roman" w:hAnsi="Arial" w:cs="Arial"/>
          <w:color w:val="3C3C3C"/>
          <w:sz w:val="15"/>
          <w:szCs w:val="15"/>
          <w:lang w:eastAsia="es-ES"/>
        </w:rPr>
        <w:t xml:space="preserve">, como la RR (MC-RR 90%) y </w:t>
      </w:r>
      <w:proofErr w:type="spellStart"/>
      <w:r w:rsidRPr="00206227">
        <w:rPr>
          <w:rFonts w:ascii="Arial" w:eastAsia="Times New Roman" w:hAnsi="Arial" w:cs="Arial"/>
          <w:color w:val="3C3C3C"/>
          <w:sz w:val="15"/>
          <w:szCs w:val="15"/>
          <w:lang w:eastAsia="es-ES"/>
        </w:rPr>
        <w:t>microcistina</w:t>
      </w:r>
      <w:proofErr w:type="spellEnd"/>
      <w:r w:rsidRPr="00206227">
        <w:rPr>
          <w:rFonts w:ascii="Arial" w:eastAsia="Times New Roman" w:hAnsi="Arial" w:cs="Arial"/>
          <w:color w:val="3C3C3C"/>
          <w:sz w:val="15"/>
          <w:szCs w:val="15"/>
          <w:lang w:eastAsia="es-ES"/>
        </w:rPr>
        <w:t xml:space="preserve"> YR (MC-YR 91%), que también aparecen en aguas contaminadas en España.</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El dispositivo puede realizar seis determinaciones simultáneas en 60 minutos y los chips se pueden reutilizar para varios ensayos sin una pérdida significativa de sus prestaciones analíticas, algo novedoso frente a otros resultados descritos en bibliografía empleando </w:t>
      </w:r>
      <w:proofErr w:type="spellStart"/>
      <w:r w:rsidRPr="00206227">
        <w:rPr>
          <w:rFonts w:ascii="Arial" w:eastAsia="Times New Roman" w:hAnsi="Arial" w:cs="Arial"/>
          <w:color w:val="3C3C3C"/>
          <w:sz w:val="15"/>
          <w:szCs w:val="15"/>
          <w:lang w:eastAsia="es-ES"/>
        </w:rPr>
        <w:t>microarrays</w:t>
      </w:r>
      <w:proofErr w:type="spellEnd"/>
      <w:r w:rsidRPr="00206227">
        <w:rPr>
          <w:rFonts w:ascii="Arial" w:eastAsia="Times New Roman" w:hAnsi="Arial" w:cs="Arial"/>
          <w:color w:val="3C3C3C"/>
          <w:sz w:val="15"/>
          <w:szCs w:val="15"/>
          <w:lang w:eastAsia="es-ES"/>
        </w:rPr>
        <w:t>. Estos se han aplicado al análisis de distintas muestras de aguas de lagos y ríos de la geografía española, en colaboración con el Centro de Estudios Hidrográficos del CEDEX (CEH-CEDEX) y los resultados se han validado mediante la técnica de HPLC-MS-MS.</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Continuando con esta línea de investigación, el grupo GSOLFA trabaja actualmente en el desarrollo de </w:t>
      </w:r>
      <w:proofErr w:type="spellStart"/>
      <w:r w:rsidRPr="00206227">
        <w:rPr>
          <w:rFonts w:ascii="Arial" w:eastAsia="Times New Roman" w:hAnsi="Arial" w:cs="Arial"/>
          <w:color w:val="3C3C3C"/>
          <w:sz w:val="15"/>
          <w:szCs w:val="15"/>
          <w:lang w:eastAsia="es-ES"/>
        </w:rPr>
        <w:t>microarrays</w:t>
      </w:r>
      <w:proofErr w:type="spellEnd"/>
      <w:r w:rsidRPr="00206227">
        <w:rPr>
          <w:rFonts w:ascii="Arial" w:eastAsia="Times New Roman" w:hAnsi="Arial" w:cs="Arial"/>
          <w:color w:val="3C3C3C"/>
          <w:sz w:val="15"/>
          <w:szCs w:val="15"/>
          <w:lang w:eastAsia="es-ES"/>
        </w:rPr>
        <w:t xml:space="preserve"> de anticuerpos para el análisis simultáneo e in situ de contaminantes medioambientales emergentes empleando un único chip (análisis </w:t>
      </w:r>
      <w:proofErr w:type="spellStart"/>
      <w:r w:rsidRPr="00206227">
        <w:rPr>
          <w:rFonts w:ascii="Arial" w:eastAsia="Times New Roman" w:hAnsi="Arial" w:cs="Arial"/>
          <w:color w:val="3C3C3C"/>
          <w:sz w:val="15"/>
          <w:szCs w:val="15"/>
          <w:lang w:eastAsia="es-ES"/>
        </w:rPr>
        <w:t>multianalito</w:t>
      </w:r>
      <w:proofErr w:type="spellEnd"/>
      <w:r w:rsidRPr="00206227">
        <w:rPr>
          <w:rFonts w:ascii="Arial" w:eastAsia="Times New Roman" w:hAnsi="Arial" w:cs="Arial"/>
          <w:color w:val="3C3C3C"/>
          <w:sz w:val="15"/>
          <w:szCs w:val="15"/>
          <w:lang w:eastAsia="es-ES"/>
        </w:rPr>
        <w:t xml:space="preserve">) de forma rápida, sencilla y a bajo coste. Para ello se están desarrollando nuevos elementos de reconocimiento </w:t>
      </w:r>
      <w:proofErr w:type="spellStart"/>
      <w:r w:rsidRPr="00206227">
        <w:rPr>
          <w:rFonts w:ascii="Arial" w:eastAsia="Times New Roman" w:hAnsi="Arial" w:cs="Arial"/>
          <w:color w:val="3C3C3C"/>
          <w:sz w:val="15"/>
          <w:szCs w:val="15"/>
          <w:lang w:eastAsia="es-ES"/>
        </w:rPr>
        <w:t>biomimético</w:t>
      </w:r>
      <w:proofErr w:type="spellEnd"/>
      <w:r w:rsidRPr="00206227">
        <w:rPr>
          <w:rFonts w:ascii="Arial" w:eastAsia="Times New Roman" w:hAnsi="Arial" w:cs="Arial"/>
          <w:color w:val="3C3C3C"/>
          <w:sz w:val="15"/>
          <w:szCs w:val="15"/>
          <w:lang w:eastAsia="es-ES"/>
        </w:rPr>
        <w:t xml:space="preserve"> (enzimas modificadas con </w:t>
      </w:r>
      <w:proofErr w:type="spellStart"/>
      <w:r w:rsidRPr="00206227">
        <w:rPr>
          <w:rFonts w:ascii="Arial" w:eastAsia="Times New Roman" w:hAnsi="Arial" w:cs="Arial"/>
          <w:color w:val="3C3C3C"/>
          <w:sz w:val="15"/>
          <w:szCs w:val="15"/>
          <w:lang w:eastAsia="es-ES"/>
        </w:rPr>
        <w:t>dextranos</w:t>
      </w:r>
      <w:proofErr w:type="spellEnd"/>
      <w:r w:rsidRPr="00206227">
        <w:rPr>
          <w:rFonts w:ascii="Arial" w:eastAsia="Times New Roman" w:hAnsi="Arial" w:cs="Arial"/>
          <w:color w:val="3C3C3C"/>
          <w:sz w:val="15"/>
          <w:szCs w:val="15"/>
          <w:lang w:eastAsia="es-ES"/>
        </w:rPr>
        <w:t xml:space="preserve">, polímeros de impronta molecular…) que pueden resultar de gran utilidad para la fabricación, en un futuro cercano, de </w:t>
      </w:r>
      <w:proofErr w:type="spellStart"/>
      <w:r w:rsidRPr="00206227">
        <w:rPr>
          <w:rFonts w:ascii="Arial" w:eastAsia="Times New Roman" w:hAnsi="Arial" w:cs="Arial"/>
          <w:color w:val="3C3C3C"/>
          <w:sz w:val="15"/>
          <w:szCs w:val="15"/>
          <w:lang w:eastAsia="es-ES"/>
        </w:rPr>
        <w:t>microarrays</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color w:val="3C3C3C"/>
          <w:sz w:val="15"/>
          <w:szCs w:val="15"/>
          <w:lang w:eastAsia="es-ES"/>
        </w:rPr>
        <w:t>multianalito</w:t>
      </w:r>
      <w:proofErr w:type="spellEnd"/>
      <w:r w:rsidRPr="00206227">
        <w:rPr>
          <w:rFonts w:ascii="Arial" w:eastAsia="Times New Roman" w:hAnsi="Arial" w:cs="Arial"/>
          <w:color w:val="3C3C3C"/>
          <w:sz w:val="15"/>
          <w:szCs w:val="15"/>
          <w:lang w:eastAsia="es-ES"/>
        </w:rPr>
        <w:t>.</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b/>
          <w:bCs/>
          <w:color w:val="3C3C3C"/>
          <w:sz w:val="15"/>
          <w:lang w:eastAsia="es-ES"/>
        </w:rPr>
        <w:t xml:space="preserve">Referencia bibliográfica: </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proofErr w:type="spellStart"/>
      <w:r w:rsidRPr="00206227">
        <w:rPr>
          <w:rFonts w:ascii="Arial" w:eastAsia="Times New Roman" w:hAnsi="Arial" w:cs="Arial"/>
          <w:color w:val="3C3C3C"/>
          <w:sz w:val="15"/>
          <w:szCs w:val="15"/>
          <w:lang w:eastAsia="es-ES"/>
        </w:rPr>
        <w:t>Herranz</w:t>
      </w:r>
      <w:proofErr w:type="spellEnd"/>
      <w:r w:rsidRPr="00206227">
        <w:rPr>
          <w:rFonts w:ascii="Arial" w:eastAsia="Times New Roman" w:hAnsi="Arial" w:cs="Arial"/>
          <w:color w:val="3C3C3C"/>
          <w:sz w:val="15"/>
          <w:szCs w:val="15"/>
          <w:lang w:eastAsia="es-ES"/>
        </w:rPr>
        <w:t xml:space="preserve">, S., </w:t>
      </w:r>
      <w:proofErr w:type="spellStart"/>
      <w:r w:rsidRPr="00206227">
        <w:rPr>
          <w:rFonts w:ascii="Arial" w:eastAsia="Times New Roman" w:hAnsi="Arial" w:cs="Arial"/>
          <w:color w:val="3C3C3C"/>
          <w:sz w:val="15"/>
          <w:szCs w:val="15"/>
          <w:lang w:eastAsia="es-ES"/>
        </w:rPr>
        <w:t>Marazuela</w:t>
      </w:r>
      <w:proofErr w:type="spellEnd"/>
      <w:r w:rsidRPr="00206227">
        <w:rPr>
          <w:rFonts w:ascii="Arial" w:eastAsia="Times New Roman" w:hAnsi="Arial" w:cs="Arial"/>
          <w:color w:val="3C3C3C"/>
          <w:sz w:val="15"/>
          <w:szCs w:val="15"/>
          <w:lang w:eastAsia="es-ES"/>
        </w:rPr>
        <w:t>, M.D., Moreno-Bondi, M.C. "</w:t>
      </w:r>
      <w:proofErr w:type="spellStart"/>
      <w:r w:rsidRPr="00206227">
        <w:rPr>
          <w:rFonts w:ascii="Arial" w:eastAsia="Times New Roman" w:hAnsi="Arial" w:cs="Arial"/>
          <w:color w:val="3C3C3C"/>
          <w:sz w:val="15"/>
          <w:szCs w:val="15"/>
          <w:lang w:eastAsia="es-ES"/>
        </w:rPr>
        <w:t>Automated</w:t>
      </w:r>
      <w:proofErr w:type="spellEnd"/>
      <w:r w:rsidRPr="00206227">
        <w:rPr>
          <w:rFonts w:ascii="Arial" w:eastAsia="Times New Roman" w:hAnsi="Arial" w:cs="Arial"/>
          <w:color w:val="3C3C3C"/>
          <w:sz w:val="15"/>
          <w:szCs w:val="15"/>
          <w:lang w:eastAsia="es-ES"/>
        </w:rPr>
        <w:t xml:space="preserve"> portable </w:t>
      </w:r>
      <w:proofErr w:type="spellStart"/>
      <w:r w:rsidRPr="00206227">
        <w:rPr>
          <w:rFonts w:ascii="Arial" w:eastAsia="Times New Roman" w:hAnsi="Arial" w:cs="Arial"/>
          <w:color w:val="3C3C3C"/>
          <w:sz w:val="15"/>
          <w:szCs w:val="15"/>
          <w:lang w:eastAsia="es-ES"/>
        </w:rPr>
        <w:t>array</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color w:val="3C3C3C"/>
          <w:sz w:val="15"/>
          <w:szCs w:val="15"/>
          <w:lang w:eastAsia="es-ES"/>
        </w:rPr>
        <w:t>biosensor</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color w:val="3C3C3C"/>
          <w:sz w:val="15"/>
          <w:szCs w:val="15"/>
          <w:lang w:eastAsia="es-ES"/>
        </w:rPr>
        <w:t>for</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color w:val="3C3C3C"/>
          <w:sz w:val="15"/>
          <w:szCs w:val="15"/>
          <w:lang w:eastAsia="es-ES"/>
        </w:rPr>
        <w:t>multisample</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color w:val="3C3C3C"/>
          <w:sz w:val="15"/>
          <w:szCs w:val="15"/>
          <w:lang w:eastAsia="es-ES"/>
        </w:rPr>
        <w:t>microcystin</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color w:val="3C3C3C"/>
          <w:sz w:val="15"/>
          <w:szCs w:val="15"/>
          <w:lang w:eastAsia="es-ES"/>
        </w:rPr>
        <w:t>analysis</w:t>
      </w:r>
      <w:proofErr w:type="spellEnd"/>
      <w:r w:rsidRPr="00206227">
        <w:rPr>
          <w:rFonts w:ascii="Arial" w:eastAsia="Times New Roman" w:hAnsi="Arial" w:cs="Arial"/>
          <w:color w:val="3C3C3C"/>
          <w:sz w:val="15"/>
          <w:szCs w:val="15"/>
          <w:lang w:eastAsia="es-ES"/>
        </w:rPr>
        <w:t xml:space="preserve"> in </w:t>
      </w:r>
      <w:proofErr w:type="spellStart"/>
      <w:r w:rsidRPr="00206227">
        <w:rPr>
          <w:rFonts w:ascii="Arial" w:eastAsia="Times New Roman" w:hAnsi="Arial" w:cs="Arial"/>
          <w:color w:val="3C3C3C"/>
          <w:sz w:val="15"/>
          <w:szCs w:val="15"/>
          <w:lang w:eastAsia="es-ES"/>
        </w:rPr>
        <w:t>freshwater</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color w:val="3C3C3C"/>
          <w:sz w:val="15"/>
          <w:szCs w:val="15"/>
          <w:lang w:eastAsia="es-ES"/>
        </w:rPr>
        <w:t>samples</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i/>
          <w:iCs/>
          <w:color w:val="3C3C3C"/>
          <w:sz w:val="15"/>
          <w:lang w:eastAsia="es-ES"/>
        </w:rPr>
        <w:t>Biosensors</w:t>
      </w:r>
      <w:proofErr w:type="spellEnd"/>
      <w:r w:rsidRPr="00206227">
        <w:rPr>
          <w:rFonts w:ascii="Arial" w:eastAsia="Times New Roman" w:hAnsi="Arial" w:cs="Arial"/>
          <w:i/>
          <w:iCs/>
          <w:color w:val="3C3C3C"/>
          <w:sz w:val="15"/>
          <w:lang w:eastAsia="es-ES"/>
        </w:rPr>
        <w:t xml:space="preserve"> &amp; </w:t>
      </w:r>
      <w:proofErr w:type="spellStart"/>
      <w:r w:rsidRPr="00206227">
        <w:rPr>
          <w:rFonts w:ascii="Arial" w:eastAsia="Times New Roman" w:hAnsi="Arial" w:cs="Arial"/>
          <w:i/>
          <w:iCs/>
          <w:color w:val="3C3C3C"/>
          <w:sz w:val="15"/>
          <w:lang w:eastAsia="es-ES"/>
        </w:rPr>
        <w:t>Bioelectronics</w:t>
      </w:r>
      <w:proofErr w:type="spellEnd"/>
      <w:r w:rsidRPr="00206227">
        <w:rPr>
          <w:rFonts w:ascii="Arial" w:eastAsia="Times New Roman" w:hAnsi="Arial" w:cs="Arial"/>
          <w:color w:val="3C3C3C"/>
          <w:sz w:val="15"/>
          <w:szCs w:val="15"/>
          <w:lang w:eastAsia="es-ES"/>
        </w:rPr>
        <w:t xml:space="preserve"> 33: 50-55, 2011. </w:t>
      </w:r>
      <w:proofErr w:type="spellStart"/>
      <w:r w:rsidRPr="00206227">
        <w:rPr>
          <w:rFonts w:ascii="Arial" w:eastAsia="Times New Roman" w:hAnsi="Arial" w:cs="Arial"/>
          <w:color w:val="3C3C3C"/>
          <w:sz w:val="15"/>
          <w:szCs w:val="15"/>
          <w:lang w:eastAsia="es-ES"/>
        </w:rPr>
        <w:t>Doi</w:t>
      </w:r>
      <w:proofErr w:type="spellEnd"/>
      <w:r w:rsidRPr="00206227">
        <w:rPr>
          <w:rFonts w:ascii="Arial" w:eastAsia="Times New Roman" w:hAnsi="Arial" w:cs="Arial"/>
          <w:color w:val="3C3C3C"/>
          <w:sz w:val="15"/>
          <w:szCs w:val="15"/>
          <w:lang w:eastAsia="es-ES"/>
        </w:rPr>
        <w:t>: 10.1016/j.bios.2011.12.016.</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w:t>
      </w:r>
    </w:p>
    <w:p w:rsidR="00206227" w:rsidRPr="00206227" w:rsidRDefault="00206227" w:rsidP="00206227">
      <w:pPr>
        <w:spacing w:after="120" w:line="240" w:lineRule="auto"/>
        <w:outlineLvl w:val="1"/>
        <w:rPr>
          <w:rFonts w:ascii="Arial" w:eastAsia="Times New Roman" w:hAnsi="Arial" w:cs="Arial"/>
          <w:b/>
          <w:bCs/>
          <w:color w:val="3C3C3C"/>
          <w:sz w:val="20"/>
          <w:szCs w:val="20"/>
          <w:lang w:eastAsia="es-ES"/>
        </w:rPr>
      </w:pPr>
      <w:bookmarkStart w:id="0" w:name="eztoc2195680_1"/>
      <w:bookmarkEnd w:id="0"/>
      <w:r w:rsidRPr="00206227">
        <w:rPr>
          <w:rFonts w:ascii="Arial" w:eastAsia="Times New Roman" w:hAnsi="Arial" w:cs="Arial"/>
          <w:b/>
          <w:bCs/>
          <w:color w:val="3C3C3C"/>
          <w:sz w:val="20"/>
          <w:szCs w:val="20"/>
          <w:lang w:eastAsia="es-ES"/>
        </w:rPr>
        <w:t>Las cianobacterias y sus toxinas</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Las cianobacterias, también conocidas como algas verde-azuladas, son microorganismos procariotas, aeróbicos y </w:t>
      </w:r>
      <w:proofErr w:type="spellStart"/>
      <w:r w:rsidRPr="00206227">
        <w:rPr>
          <w:rFonts w:ascii="Arial" w:eastAsia="Times New Roman" w:hAnsi="Arial" w:cs="Arial"/>
          <w:color w:val="3C3C3C"/>
          <w:sz w:val="15"/>
          <w:szCs w:val="15"/>
          <w:lang w:eastAsia="es-ES"/>
        </w:rPr>
        <w:t>fotoautótrofos</w:t>
      </w:r>
      <w:proofErr w:type="spellEnd"/>
      <w:r w:rsidRPr="00206227">
        <w:rPr>
          <w:rFonts w:ascii="Arial" w:eastAsia="Times New Roman" w:hAnsi="Arial" w:cs="Arial"/>
          <w:color w:val="3C3C3C"/>
          <w:sz w:val="15"/>
          <w:szCs w:val="15"/>
          <w:lang w:eastAsia="es-ES"/>
        </w:rPr>
        <w:t xml:space="preserve">. En otras palabras, no tienen núcleo diferenciado, necesitan del oxígeno </w:t>
      </w:r>
      <w:proofErr w:type="spellStart"/>
      <w:r w:rsidRPr="00206227">
        <w:rPr>
          <w:rFonts w:ascii="Arial" w:eastAsia="Times New Roman" w:hAnsi="Arial" w:cs="Arial"/>
          <w:color w:val="3C3C3C"/>
          <w:sz w:val="15"/>
          <w:szCs w:val="15"/>
          <w:lang w:eastAsia="es-ES"/>
        </w:rPr>
        <w:t>diatómico</w:t>
      </w:r>
      <w:proofErr w:type="spellEnd"/>
      <w:r w:rsidRPr="00206227">
        <w:rPr>
          <w:rFonts w:ascii="Arial" w:eastAsia="Times New Roman" w:hAnsi="Arial" w:cs="Arial"/>
          <w:color w:val="3C3C3C"/>
          <w:sz w:val="15"/>
          <w:szCs w:val="15"/>
          <w:lang w:eastAsia="es-ES"/>
        </w:rPr>
        <w:t xml:space="preserve"> para vivir o poder desarrollarse y efectúan fotosíntesis para obtener energía. Crecen en medios de agua dulce y marino, donde la creciente eutrofización (enriquecimiento de nutrientes, principalmente nitrógeno y fósforo) favorece su proliferación incontrolada (afloramientos), especialmente en los meses de verano, con el consiguiente impacto negativo sobre la calidad de las aguas.</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lastRenderedPageBreak/>
        <w:t xml:space="preserve">Por otro lado, a este problema medioambiental se suma el hecho de que algunas cianobacterias producen ciertos </w:t>
      </w:r>
      <w:proofErr w:type="spellStart"/>
      <w:r w:rsidRPr="00206227">
        <w:rPr>
          <w:rFonts w:ascii="Arial" w:eastAsia="Times New Roman" w:hAnsi="Arial" w:cs="Arial"/>
          <w:color w:val="3C3C3C"/>
          <w:sz w:val="15"/>
          <w:szCs w:val="15"/>
          <w:lang w:eastAsia="es-ES"/>
        </w:rPr>
        <w:t>metabolitos</w:t>
      </w:r>
      <w:proofErr w:type="spellEnd"/>
      <w:r w:rsidRPr="00206227">
        <w:rPr>
          <w:rFonts w:ascii="Arial" w:eastAsia="Times New Roman" w:hAnsi="Arial" w:cs="Arial"/>
          <w:color w:val="3C3C3C"/>
          <w:sz w:val="15"/>
          <w:szCs w:val="15"/>
          <w:lang w:eastAsia="es-ES"/>
        </w:rPr>
        <w:t xml:space="preserve"> secundarios, conocidos como </w:t>
      </w:r>
      <w:proofErr w:type="spellStart"/>
      <w:r w:rsidRPr="00206227">
        <w:rPr>
          <w:rFonts w:ascii="Arial" w:eastAsia="Times New Roman" w:hAnsi="Arial" w:cs="Arial"/>
          <w:color w:val="3C3C3C"/>
          <w:sz w:val="15"/>
          <w:szCs w:val="15"/>
          <w:lang w:eastAsia="es-ES"/>
        </w:rPr>
        <w:t>cianotoxinas</w:t>
      </w:r>
      <w:proofErr w:type="spellEnd"/>
      <w:r w:rsidRPr="00206227">
        <w:rPr>
          <w:rFonts w:ascii="Arial" w:eastAsia="Times New Roman" w:hAnsi="Arial" w:cs="Arial"/>
          <w:color w:val="3C3C3C"/>
          <w:sz w:val="15"/>
          <w:szCs w:val="15"/>
          <w:lang w:eastAsia="es-ES"/>
        </w:rPr>
        <w:t>, que resultan tóxicos para distintos organismos -</w:t>
      </w:r>
      <w:proofErr w:type="spellStart"/>
      <w:r w:rsidRPr="00206227">
        <w:rPr>
          <w:rFonts w:ascii="Arial" w:eastAsia="Times New Roman" w:hAnsi="Arial" w:cs="Arial"/>
          <w:color w:val="3C3C3C"/>
          <w:sz w:val="15"/>
          <w:szCs w:val="15"/>
          <w:lang w:eastAsia="es-ES"/>
        </w:rPr>
        <w:t>incluídos</w:t>
      </w:r>
      <w:proofErr w:type="spellEnd"/>
      <w:r w:rsidRPr="00206227">
        <w:rPr>
          <w:rFonts w:ascii="Arial" w:eastAsia="Times New Roman" w:hAnsi="Arial" w:cs="Arial"/>
          <w:color w:val="3C3C3C"/>
          <w:sz w:val="15"/>
          <w:szCs w:val="15"/>
          <w:lang w:eastAsia="es-ES"/>
        </w:rPr>
        <w:t xml:space="preserve"> los seres humanos- lo cual supone un importante riesgo </w:t>
      </w:r>
      <w:proofErr w:type="spellStart"/>
      <w:r w:rsidRPr="00206227">
        <w:rPr>
          <w:rFonts w:ascii="Arial" w:eastAsia="Times New Roman" w:hAnsi="Arial" w:cs="Arial"/>
          <w:color w:val="3C3C3C"/>
          <w:sz w:val="15"/>
          <w:szCs w:val="15"/>
          <w:lang w:eastAsia="es-ES"/>
        </w:rPr>
        <w:t>sanitario.Las</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color w:val="3C3C3C"/>
          <w:sz w:val="15"/>
          <w:szCs w:val="15"/>
          <w:lang w:eastAsia="es-ES"/>
        </w:rPr>
        <w:t>microcistinas</w:t>
      </w:r>
      <w:proofErr w:type="spellEnd"/>
      <w:r w:rsidRPr="00206227">
        <w:rPr>
          <w:rFonts w:ascii="Arial" w:eastAsia="Times New Roman" w:hAnsi="Arial" w:cs="Arial"/>
          <w:color w:val="3C3C3C"/>
          <w:sz w:val="15"/>
          <w:szCs w:val="15"/>
          <w:lang w:eastAsia="es-ES"/>
        </w:rPr>
        <w:t xml:space="preserve"> (MC) son las toxinas más frecuentes en las proliferaciones de cianobacterias en aguas continentales.</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Se trata de </w:t>
      </w:r>
      <w:proofErr w:type="spellStart"/>
      <w:r w:rsidRPr="00206227">
        <w:rPr>
          <w:rFonts w:ascii="Arial" w:eastAsia="Times New Roman" w:hAnsi="Arial" w:cs="Arial"/>
          <w:color w:val="3C3C3C"/>
          <w:sz w:val="15"/>
          <w:szCs w:val="15"/>
          <w:lang w:eastAsia="es-ES"/>
        </w:rPr>
        <w:t>heptapéptidos</w:t>
      </w:r>
      <w:proofErr w:type="spellEnd"/>
      <w:r w:rsidRPr="00206227">
        <w:rPr>
          <w:rFonts w:ascii="Arial" w:eastAsia="Times New Roman" w:hAnsi="Arial" w:cs="Arial"/>
          <w:color w:val="3C3C3C"/>
          <w:sz w:val="15"/>
          <w:szCs w:val="15"/>
          <w:lang w:eastAsia="es-ES"/>
        </w:rPr>
        <w:t xml:space="preserve"> cíclicos, muy estables, producidos por varios géneros de cianobacterias, como </w:t>
      </w:r>
      <w:proofErr w:type="spellStart"/>
      <w:r w:rsidRPr="00206227">
        <w:rPr>
          <w:rFonts w:ascii="Arial" w:eastAsia="Times New Roman" w:hAnsi="Arial" w:cs="Arial"/>
          <w:i/>
          <w:iCs/>
          <w:color w:val="3C3C3C"/>
          <w:sz w:val="15"/>
          <w:lang w:eastAsia="es-ES"/>
        </w:rPr>
        <w:t>Microcystis</w:t>
      </w:r>
      <w:proofErr w:type="spellEnd"/>
      <w:r w:rsidRPr="00206227">
        <w:rPr>
          <w:rFonts w:ascii="Arial" w:eastAsia="Times New Roman" w:hAnsi="Arial" w:cs="Arial"/>
          <w:color w:val="3C3C3C"/>
          <w:sz w:val="15"/>
          <w:szCs w:val="15"/>
          <w:lang w:eastAsia="es-ES"/>
        </w:rPr>
        <w:t xml:space="preserve">, </w:t>
      </w:r>
      <w:proofErr w:type="spellStart"/>
      <w:r w:rsidRPr="00206227">
        <w:rPr>
          <w:rFonts w:ascii="Arial" w:eastAsia="Times New Roman" w:hAnsi="Arial" w:cs="Arial"/>
          <w:i/>
          <w:iCs/>
          <w:color w:val="3C3C3C"/>
          <w:sz w:val="15"/>
          <w:lang w:eastAsia="es-ES"/>
        </w:rPr>
        <w:t>Anabaena</w:t>
      </w:r>
      <w:proofErr w:type="spellEnd"/>
      <w:r w:rsidRPr="00206227">
        <w:rPr>
          <w:rFonts w:ascii="Arial" w:eastAsia="Times New Roman" w:hAnsi="Arial" w:cs="Arial"/>
          <w:color w:val="3C3C3C"/>
          <w:sz w:val="15"/>
          <w:szCs w:val="15"/>
          <w:lang w:eastAsia="es-ES"/>
        </w:rPr>
        <w:t xml:space="preserve"> y </w:t>
      </w:r>
      <w:proofErr w:type="spellStart"/>
      <w:r w:rsidRPr="00206227">
        <w:rPr>
          <w:rFonts w:ascii="Arial" w:eastAsia="Times New Roman" w:hAnsi="Arial" w:cs="Arial"/>
          <w:i/>
          <w:iCs/>
          <w:color w:val="3C3C3C"/>
          <w:sz w:val="15"/>
          <w:lang w:eastAsia="es-ES"/>
        </w:rPr>
        <w:t>Oscillatoria</w:t>
      </w:r>
      <w:proofErr w:type="spellEnd"/>
      <w:r w:rsidRPr="00206227">
        <w:rPr>
          <w:rFonts w:ascii="Arial" w:eastAsia="Times New Roman" w:hAnsi="Arial" w:cs="Arial"/>
          <w:color w:val="3C3C3C"/>
          <w:sz w:val="15"/>
          <w:szCs w:val="15"/>
          <w:lang w:eastAsia="es-ES"/>
        </w:rPr>
        <w:t xml:space="preserve">. La exposición a dosis altas de </w:t>
      </w:r>
      <w:proofErr w:type="spellStart"/>
      <w:r w:rsidRPr="00206227">
        <w:rPr>
          <w:rFonts w:ascii="Arial" w:eastAsia="Times New Roman" w:hAnsi="Arial" w:cs="Arial"/>
          <w:color w:val="3C3C3C"/>
          <w:sz w:val="15"/>
          <w:szCs w:val="15"/>
          <w:lang w:eastAsia="es-ES"/>
        </w:rPr>
        <w:t>MCs</w:t>
      </w:r>
      <w:proofErr w:type="spellEnd"/>
      <w:r w:rsidRPr="00206227">
        <w:rPr>
          <w:rFonts w:ascii="Arial" w:eastAsia="Times New Roman" w:hAnsi="Arial" w:cs="Arial"/>
          <w:color w:val="3C3C3C"/>
          <w:sz w:val="15"/>
          <w:szCs w:val="15"/>
          <w:lang w:eastAsia="es-ES"/>
        </w:rPr>
        <w:t xml:space="preserve"> puede conducir a la muerte por choque </w:t>
      </w:r>
      <w:proofErr w:type="spellStart"/>
      <w:r w:rsidRPr="00206227">
        <w:rPr>
          <w:rFonts w:ascii="Arial" w:eastAsia="Times New Roman" w:hAnsi="Arial" w:cs="Arial"/>
          <w:color w:val="3C3C3C"/>
          <w:sz w:val="15"/>
          <w:szCs w:val="15"/>
          <w:lang w:eastAsia="es-ES"/>
        </w:rPr>
        <w:t>hipovolémico</w:t>
      </w:r>
      <w:proofErr w:type="spellEnd"/>
      <w:r w:rsidRPr="00206227">
        <w:rPr>
          <w:rFonts w:ascii="Arial" w:eastAsia="Times New Roman" w:hAnsi="Arial" w:cs="Arial"/>
          <w:color w:val="3C3C3C"/>
          <w:sz w:val="15"/>
          <w:szCs w:val="15"/>
          <w:lang w:eastAsia="es-ES"/>
        </w:rPr>
        <w:t xml:space="preserve">, también llamado hemorrágico, mientras que la exposición crónica a dosis bajas parece estar relacionada con la aparición de cáncer de hígado. Estas toxinas son resistentes a los oxidantes empleados habitualmente en el tratamiento de aguas, por ejemplo a la cloración, y su degradación térmica se produce a temperaturas superiores a 120 </w:t>
      </w:r>
      <w:proofErr w:type="spellStart"/>
      <w:r w:rsidRPr="00206227">
        <w:rPr>
          <w:rFonts w:ascii="Arial" w:eastAsia="Times New Roman" w:hAnsi="Arial" w:cs="Arial"/>
          <w:color w:val="3C3C3C"/>
          <w:sz w:val="15"/>
          <w:szCs w:val="15"/>
          <w:vertAlign w:val="superscript"/>
          <w:lang w:eastAsia="es-ES"/>
        </w:rPr>
        <w:t>o</w:t>
      </w:r>
      <w:r w:rsidRPr="00206227">
        <w:rPr>
          <w:rFonts w:ascii="Arial" w:eastAsia="Times New Roman" w:hAnsi="Arial" w:cs="Arial"/>
          <w:color w:val="3C3C3C"/>
          <w:sz w:val="15"/>
          <w:szCs w:val="15"/>
          <w:lang w:eastAsia="es-ES"/>
        </w:rPr>
        <w:t>C</w:t>
      </w:r>
      <w:proofErr w:type="spellEnd"/>
      <w:r w:rsidRPr="00206227">
        <w:rPr>
          <w:rFonts w:ascii="Arial" w:eastAsia="Times New Roman" w:hAnsi="Arial" w:cs="Arial"/>
          <w:color w:val="3C3C3C"/>
          <w:sz w:val="15"/>
          <w:szCs w:val="15"/>
          <w:lang w:eastAsia="es-ES"/>
        </w:rPr>
        <w:t>, lo cual dificulta su eliminación por ebullición del agua.</w:t>
      </w:r>
    </w:p>
    <w:p w:rsidR="00206227" w:rsidRPr="00206227" w:rsidRDefault="00206227" w:rsidP="00206227">
      <w:pPr>
        <w:spacing w:before="120" w:after="120" w:line="300" w:lineRule="atLeast"/>
        <w:rPr>
          <w:rFonts w:ascii="Arial" w:eastAsia="Times New Roman" w:hAnsi="Arial" w:cs="Arial"/>
          <w:color w:val="3C3C3C"/>
          <w:sz w:val="15"/>
          <w:szCs w:val="15"/>
          <w:lang w:eastAsia="es-ES"/>
        </w:rPr>
      </w:pPr>
      <w:r w:rsidRPr="00206227">
        <w:rPr>
          <w:rFonts w:ascii="Arial" w:eastAsia="Times New Roman" w:hAnsi="Arial" w:cs="Arial"/>
          <w:color w:val="3C3C3C"/>
          <w:sz w:val="15"/>
          <w:szCs w:val="15"/>
          <w:lang w:eastAsia="es-ES"/>
        </w:rPr>
        <w:t xml:space="preserve">La Organización Mundial de la Salud (OMS) ha establecido un valor provisional de concentración máxima en agua de </w:t>
      </w:r>
      <w:proofErr w:type="spellStart"/>
      <w:r w:rsidRPr="00206227">
        <w:rPr>
          <w:rFonts w:ascii="Arial" w:eastAsia="Times New Roman" w:hAnsi="Arial" w:cs="Arial"/>
          <w:color w:val="3C3C3C"/>
          <w:sz w:val="15"/>
          <w:szCs w:val="15"/>
          <w:lang w:eastAsia="es-ES"/>
        </w:rPr>
        <w:t>microcistina</w:t>
      </w:r>
      <w:proofErr w:type="spellEnd"/>
      <w:r w:rsidRPr="00206227">
        <w:rPr>
          <w:rFonts w:ascii="Arial" w:eastAsia="Times New Roman" w:hAnsi="Arial" w:cs="Arial"/>
          <w:color w:val="3C3C3C"/>
          <w:sz w:val="15"/>
          <w:szCs w:val="15"/>
          <w:lang w:eastAsia="es-ES"/>
        </w:rPr>
        <w:t xml:space="preserve">-LR (MC-LR), una de las más abundantes en nuestro país, de 1 mg/l para el consumo directo. Por todo ello, es necesario disponer de métodos de detección sensibles, rápidos y selectivos que faciliten el control de la presencia de </w:t>
      </w:r>
      <w:proofErr w:type="spellStart"/>
      <w:r w:rsidRPr="00206227">
        <w:rPr>
          <w:rFonts w:ascii="Arial" w:eastAsia="Times New Roman" w:hAnsi="Arial" w:cs="Arial"/>
          <w:color w:val="3C3C3C"/>
          <w:sz w:val="15"/>
          <w:szCs w:val="15"/>
          <w:lang w:eastAsia="es-ES"/>
        </w:rPr>
        <w:t>microcistinas</w:t>
      </w:r>
      <w:proofErr w:type="spellEnd"/>
      <w:r w:rsidRPr="00206227">
        <w:rPr>
          <w:rFonts w:ascii="Arial" w:eastAsia="Times New Roman" w:hAnsi="Arial" w:cs="Arial"/>
          <w:color w:val="3C3C3C"/>
          <w:sz w:val="15"/>
          <w:szCs w:val="15"/>
          <w:lang w:eastAsia="es-ES"/>
        </w:rPr>
        <w:t xml:space="preserve"> en el medioambiente y que permitan asegurar la calidad del agua que llega al consumidor.</w:t>
      </w:r>
    </w:p>
    <w:p w:rsidR="00206227" w:rsidRDefault="00206227"/>
    <w:sectPr w:rsidR="00206227" w:rsidSect="00CD38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1DF6"/>
    <w:multiLevelType w:val="multilevel"/>
    <w:tmpl w:val="A012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C32BA8"/>
    <w:multiLevelType w:val="multilevel"/>
    <w:tmpl w:val="1B84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206227"/>
    <w:rsid w:val="00206227"/>
    <w:rsid w:val="00555AA1"/>
    <w:rsid w:val="006214CB"/>
    <w:rsid w:val="00CD38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0B"/>
  </w:style>
  <w:style w:type="paragraph" w:styleId="Ttulo1">
    <w:name w:val="heading 1"/>
    <w:basedOn w:val="Normal"/>
    <w:link w:val="Ttulo1Car"/>
    <w:uiPriority w:val="9"/>
    <w:qFormat/>
    <w:rsid w:val="00206227"/>
    <w:pPr>
      <w:spacing w:after="120" w:line="240" w:lineRule="auto"/>
      <w:outlineLvl w:val="0"/>
    </w:pPr>
    <w:rPr>
      <w:rFonts w:ascii="Times New Roman" w:eastAsia="Times New Roman" w:hAnsi="Times New Roman" w:cs="Times New Roman"/>
      <w:kern w:val="36"/>
      <w:sz w:val="34"/>
      <w:szCs w:val="34"/>
      <w:lang w:eastAsia="es-ES"/>
    </w:rPr>
  </w:style>
  <w:style w:type="paragraph" w:styleId="Ttulo2">
    <w:name w:val="heading 2"/>
    <w:basedOn w:val="Normal"/>
    <w:link w:val="Ttulo2Car"/>
    <w:uiPriority w:val="9"/>
    <w:qFormat/>
    <w:rsid w:val="00206227"/>
    <w:pPr>
      <w:spacing w:after="120" w:line="240" w:lineRule="auto"/>
      <w:outlineLvl w:val="1"/>
    </w:pPr>
    <w:rPr>
      <w:rFonts w:ascii="Times New Roman" w:eastAsia="Times New Roman" w:hAnsi="Times New Roman" w:cs="Times New Roman"/>
      <w:b/>
      <w:bCs/>
      <w:sz w:val="31"/>
      <w:szCs w:val="3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6227"/>
    <w:rPr>
      <w:rFonts w:ascii="Times New Roman" w:eastAsia="Times New Roman" w:hAnsi="Times New Roman" w:cs="Times New Roman"/>
      <w:kern w:val="36"/>
      <w:sz w:val="34"/>
      <w:szCs w:val="34"/>
      <w:lang w:eastAsia="es-ES"/>
    </w:rPr>
  </w:style>
  <w:style w:type="character" w:customStyle="1" w:styleId="Ttulo2Car">
    <w:name w:val="Título 2 Car"/>
    <w:basedOn w:val="Fuentedeprrafopredeter"/>
    <w:link w:val="Ttulo2"/>
    <w:uiPriority w:val="9"/>
    <w:rsid w:val="00206227"/>
    <w:rPr>
      <w:rFonts w:ascii="Times New Roman" w:eastAsia="Times New Roman" w:hAnsi="Times New Roman" w:cs="Times New Roman"/>
      <w:b/>
      <w:bCs/>
      <w:sz w:val="31"/>
      <w:szCs w:val="31"/>
      <w:lang w:eastAsia="es-ES"/>
    </w:rPr>
  </w:style>
  <w:style w:type="character" w:styleId="Hipervnculo">
    <w:name w:val="Hyperlink"/>
    <w:basedOn w:val="Fuentedeprrafopredeter"/>
    <w:uiPriority w:val="99"/>
    <w:semiHidden/>
    <w:unhideWhenUsed/>
    <w:rsid w:val="00206227"/>
    <w:rPr>
      <w:strike w:val="0"/>
      <w:dstrike w:val="0"/>
      <w:color w:val="0A5C83"/>
      <w:u w:val="none"/>
      <w:effect w:val="none"/>
    </w:rPr>
  </w:style>
  <w:style w:type="character" w:styleId="nfasis">
    <w:name w:val="Emphasis"/>
    <w:basedOn w:val="Fuentedeprrafopredeter"/>
    <w:uiPriority w:val="20"/>
    <w:qFormat/>
    <w:rsid w:val="00206227"/>
    <w:rPr>
      <w:i/>
      <w:iCs/>
    </w:rPr>
  </w:style>
  <w:style w:type="character" w:styleId="Textoennegrita">
    <w:name w:val="Strong"/>
    <w:basedOn w:val="Fuentedeprrafopredeter"/>
    <w:uiPriority w:val="22"/>
    <w:qFormat/>
    <w:rsid w:val="00206227"/>
    <w:rPr>
      <w:b/>
      <w:bCs/>
    </w:rPr>
  </w:style>
  <w:style w:type="paragraph" w:styleId="NormalWeb">
    <w:name w:val="Normal (Web)"/>
    <w:basedOn w:val="Normal"/>
    <w:uiPriority w:val="99"/>
    <w:semiHidden/>
    <w:unhideWhenUsed/>
    <w:rsid w:val="00206227"/>
    <w:pPr>
      <w:spacing w:before="120" w:after="120" w:line="300" w:lineRule="atLeast"/>
    </w:pPr>
    <w:rPr>
      <w:rFonts w:ascii="Times New Roman" w:eastAsia="Times New Roman" w:hAnsi="Times New Roman" w:cs="Times New Roman"/>
      <w:sz w:val="24"/>
      <w:szCs w:val="24"/>
      <w:lang w:eastAsia="es-ES"/>
    </w:rPr>
  </w:style>
  <w:style w:type="character" w:customStyle="1" w:styleId="barra1">
    <w:name w:val="barra1"/>
    <w:basedOn w:val="Fuentedeprrafopredeter"/>
    <w:rsid w:val="00206227"/>
  </w:style>
  <w:style w:type="paragraph" w:customStyle="1" w:styleId="datos1">
    <w:name w:val="datos1"/>
    <w:basedOn w:val="Normal"/>
    <w:rsid w:val="00206227"/>
    <w:pPr>
      <w:spacing w:before="240" w:after="240" w:line="300" w:lineRule="atLeast"/>
    </w:pPr>
    <w:rPr>
      <w:rFonts w:ascii="Times New Roman" w:eastAsia="Times New Roman" w:hAnsi="Times New Roman" w:cs="Times New Roman"/>
      <w:color w:val="4C9BC1"/>
      <w:sz w:val="26"/>
      <w:szCs w:val="26"/>
      <w:lang w:eastAsia="es-ES"/>
    </w:rPr>
  </w:style>
  <w:style w:type="character" w:customStyle="1" w:styleId="tipo">
    <w:name w:val="tipo"/>
    <w:basedOn w:val="Fuentedeprrafopredeter"/>
    <w:rsid w:val="00206227"/>
  </w:style>
  <w:style w:type="paragraph" w:styleId="Textodeglobo">
    <w:name w:val="Balloon Text"/>
    <w:basedOn w:val="Normal"/>
    <w:link w:val="TextodegloboCar"/>
    <w:uiPriority w:val="99"/>
    <w:semiHidden/>
    <w:unhideWhenUsed/>
    <w:rsid w:val="002062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227"/>
    <w:rPr>
      <w:rFonts w:ascii="Tahoma" w:hAnsi="Tahoma" w:cs="Tahoma"/>
      <w:sz w:val="16"/>
      <w:szCs w:val="16"/>
    </w:rPr>
  </w:style>
  <w:style w:type="character" w:customStyle="1" w:styleId="tipo19">
    <w:name w:val="tipo19"/>
    <w:basedOn w:val="Fuentedeprrafopredeter"/>
    <w:rsid w:val="00206227"/>
  </w:style>
</w:styles>
</file>

<file path=word/webSettings.xml><?xml version="1.0" encoding="utf-8"?>
<w:webSettings xmlns:r="http://schemas.openxmlformats.org/officeDocument/2006/relationships" xmlns:w="http://schemas.openxmlformats.org/wordprocessingml/2006/main">
  <w:divs>
    <w:div w:id="224416832">
      <w:bodyDiv w:val="1"/>
      <w:marLeft w:val="0"/>
      <w:marRight w:val="0"/>
      <w:marTop w:val="0"/>
      <w:marBottom w:val="0"/>
      <w:divBdr>
        <w:top w:val="none" w:sz="0" w:space="0" w:color="auto"/>
        <w:left w:val="none" w:sz="0" w:space="0" w:color="auto"/>
        <w:bottom w:val="none" w:sz="0" w:space="0" w:color="auto"/>
        <w:right w:val="none" w:sz="0" w:space="0" w:color="auto"/>
      </w:divBdr>
      <w:divsChild>
        <w:div w:id="698045850">
          <w:marLeft w:val="0"/>
          <w:marRight w:val="0"/>
          <w:marTop w:val="0"/>
          <w:marBottom w:val="0"/>
          <w:divBdr>
            <w:top w:val="none" w:sz="0" w:space="0" w:color="auto"/>
            <w:left w:val="none" w:sz="0" w:space="0" w:color="auto"/>
            <w:bottom w:val="none" w:sz="0" w:space="0" w:color="auto"/>
            <w:right w:val="none" w:sz="0" w:space="0" w:color="auto"/>
          </w:divBdr>
          <w:divsChild>
            <w:div w:id="925503827">
              <w:marLeft w:val="0"/>
              <w:marRight w:val="0"/>
              <w:marTop w:val="0"/>
              <w:marBottom w:val="0"/>
              <w:divBdr>
                <w:top w:val="none" w:sz="0" w:space="0" w:color="auto"/>
                <w:left w:val="none" w:sz="0" w:space="0" w:color="auto"/>
                <w:bottom w:val="none" w:sz="0" w:space="0" w:color="auto"/>
                <w:right w:val="single" w:sz="8" w:space="11" w:color="E5E5E5"/>
              </w:divBdr>
              <w:divsChild>
                <w:div w:id="122428096">
                  <w:marLeft w:val="0"/>
                  <w:marRight w:val="0"/>
                  <w:marTop w:val="0"/>
                  <w:marBottom w:val="0"/>
                  <w:divBdr>
                    <w:top w:val="none" w:sz="0" w:space="0" w:color="auto"/>
                    <w:left w:val="none" w:sz="0" w:space="0" w:color="auto"/>
                    <w:bottom w:val="none" w:sz="0" w:space="0" w:color="auto"/>
                    <w:right w:val="none" w:sz="0" w:space="0" w:color="auto"/>
                  </w:divBdr>
                  <w:divsChild>
                    <w:div w:id="1116097697">
                      <w:marLeft w:val="0"/>
                      <w:marRight w:val="0"/>
                      <w:marTop w:val="0"/>
                      <w:marBottom w:val="0"/>
                      <w:divBdr>
                        <w:top w:val="none" w:sz="0" w:space="0" w:color="auto"/>
                        <w:left w:val="none" w:sz="0" w:space="0" w:color="auto"/>
                        <w:bottom w:val="single" w:sz="8" w:space="0" w:color="E5E5E5"/>
                        <w:right w:val="none" w:sz="0" w:space="0" w:color="auto"/>
                      </w:divBdr>
                    </w:div>
                    <w:div w:id="1542283987">
                      <w:marLeft w:val="0"/>
                      <w:marRight w:val="0"/>
                      <w:marTop w:val="0"/>
                      <w:marBottom w:val="0"/>
                      <w:divBdr>
                        <w:top w:val="none" w:sz="0" w:space="0" w:color="auto"/>
                        <w:left w:val="none" w:sz="0" w:space="0" w:color="auto"/>
                        <w:bottom w:val="none" w:sz="0" w:space="0" w:color="auto"/>
                        <w:right w:val="none" w:sz="0" w:space="0" w:color="auto"/>
                      </w:divBdr>
                    </w:div>
                    <w:div w:id="2071803935">
                      <w:marLeft w:val="0"/>
                      <w:marRight w:val="0"/>
                      <w:marTop w:val="0"/>
                      <w:marBottom w:val="0"/>
                      <w:divBdr>
                        <w:top w:val="none" w:sz="0" w:space="0" w:color="auto"/>
                        <w:left w:val="none" w:sz="0" w:space="0" w:color="auto"/>
                        <w:bottom w:val="none" w:sz="0" w:space="0" w:color="auto"/>
                        <w:right w:val="none" w:sz="0" w:space="0" w:color="auto"/>
                      </w:divBdr>
                      <w:divsChild>
                        <w:div w:id="1380863980">
                          <w:marLeft w:val="0"/>
                          <w:marRight w:val="0"/>
                          <w:marTop w:val="0"/>
                          <w:marBottom w:val="0"/>
                          <w:divBdr>
                            <w:top w:val="none" w:sz="0" w:space="0" w:color="auto"/>
                            <w:left w:val="none" w:sz="0" w:space="0" w:color="auto"/>
                            <w:bottom w:val="none" w:sz="0" w:space="0" w:color="auto"/>
                            <w:right w:val="none" w:sz="0" w:space="0" w:color="auto"/>
                          </w:divBdr>
                          <w:divsChild>
                            <w:div w:id="688876453">
                              <w:marLeft w:val="300"/>
                              <w:marRight w:val="0"/>
                              <w:marTop w:val="0"/>
                              <w:marBottom w:val="300"/>
                              <w:divBdr>
                                <w:top w:val="none" w:sz="0" w:space="0" w:color="auto"/>
                                <w:left w:val="none" w:sz="0" w:space="0" w:color="auto"/>
                                <w:bottom w:val="none" w:sz="0" w:space="0" w:color="auto"/>
                                <w:right w:val="none" w:sz="0" w:space="0" w:color="auto"/>
                              </w:divBdr>
                              <w:divsChild>
                                <w:div w:id="912155222">
                                  <w:marLeft w:val="0"/>
                                  <w:marRight w:val="0"/>
                                  <w:marTop w:val="0"/>
                                  <w:marBottom w:val="0"/>
                                  <w:divBdr>
                                    <w:top w:val="none" w:sz="0" w:space="0" w:color="auto"/>
                                    <w:left w:val="none" w:sz="0" w:space="0" w:color="auto"/>
                                    <w:bottom w:val="none" w:sz="0" w:space="0" w:color="auto"/>
                                    <w:right w:val="none" w:sz="0" w:space="0" w:color="auto"/>
                                  </w:divBdr>
                                  <w:divsChild>
                                    <w:div w:id="1403023176">
                                      <w:marLeft w:val="0"/>
                                      <w:marRight w:val="0"/>
                                      <w:marTop w:val="120"/>
                                      <w:marBottom w:val="0"/>
                                      <w:divBdr>
                                        <w:top w:val="none" w:sz="0" w:space="0" w:color="auto"/>
                                        <w:left w:val="none" w:sz="0" w:space="0" w:color="auto"/>
                                        <w:bottom w:val="single" w:sz="18" w:space="24" w:color="E5E5E5"/>
                                        <w:right w:val="none" w:sz="0" w:space="0" w:color="auto"/>
                                      </w:divBdr>
                                    </w:div>
                                  </w:divsChild>
                                </w:div>
                                <w:div w:id="2146463306">
                                  <w:marLeft w:val="0"/>
                                  <w:marRight w:val="0"/>
                                  <w:marTop w:val="0"/>
                                  <w:marBottom w:val="0"/>
                                  <w:divBdr>
                                    <w:top w:val="none" w:sz="0" w:space="0" w:color="auto"/>
                                    <w:left w:val="none" w:sz="0" w:space="0" w:color="auto"/>
                                    <w:bottom w:val="none" w:sz="0" w:space="0" w:color="auto"/>
                                    <w:right w:val="none" w:sz="0" w:space="0" w:color="auto"/>
                                  </w:divBdr>
                                  <w:divsChild>
                                    <w:div w:id="694580859">
                                      <w:marLeft w:val="0"/>
                                      <w:marRight w:val="0"/>
                                      <w:marTop w:val="0"/>
                                      <w:marBottom w:val="0"/>
                                      <w:divBdr>
                                        <w:top w:val="none" w:sz="0" w:space="0" w:color="auto"/>
                                        <w:left w:val="none" w:sz="0" w:space="0" w:color="auto"/>
                                        <w:bottom w:val="none" w:sz="0" w:space="0" w:color="auto"/>
                                        <w:right w:val="none" w:sz="0" w:space="0" w:color="auto"/>
                                      </w:divBdr>
                                      <w:divsChild>
                                        <w:div w:id="614291685">
                                          <w:marLeft w:val="0"/>
                                          <w:marRight w:val="0"/>
                                          <w:marTop w:val="0"/>
                                          <w:marBottom w:val="0"/>
                                          <w:divBdr>
                                            <w:top w:val="none" w:sz="0" w:space="0" w:color="auto"/>
                                            <w:left w:val="none" w:sz="0" w:space="0" w:color="auto"/>
                                            <w:bottom w:val="none" w:sz="0" w:space="0" w:color="auto"/>
                                            <w:right w:val="none" w:sz="0" w:space="0" w:color="auto"/>
                                          </w:divBdr>
                                        </w:div>
                                        <w:div w:id="1927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21779">
                          <w:marLeft w:val="0"/>
                          <w:marRight w:val="0"/>
                          <w:marTop w:val="240"/>
                          <w:marBottom w:val="240"/>
                          <w:divBdr>
                            <w:top w:val="none" w:sz="0" w:space="0" w:color="auto"/>
                            <w:left w:val="none" w:sz="0" w:space="0" w:color="auto"/>
                            <w:bottom w:val="none" w:sz="0" w:space="0" w:color="auto"/>
                            <w:right w:val="none" w:sz="0" w:space="0" w:color="auto"/>
                          </w:divBdr>
                        </w:div>
                        <w:div w:id="1154373820">
                          <w:marLeft w:val="0"/>
                          <w:marRight w:val="0"/>
                          <w:marTop w:val="0"/>
                          <w:marBottom w:val="0"/>
                          <w:divBdr>
                            <w:top w:val="none" w:sz="0" w:space="0" w:color="auto"/>
                            <w:left w:val="none" w:sz="0" w:space="0" w:color="auto"/>
                            <w:bottom w:val="none" w:sz="0" w:space="0" w:color="auto"/>
                            <w:right w:val="none" w:sz="0" w:space="0" w:color="auto"/>
                          </w:divBdr>
                        </w:div>
                        <w:div w:id="12559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98594">
      <w:bodyDiv w:val="1"/>
      <w:marLeft w:val="0"/>
      <w:marRight w:val="0"/>
      <w:marTop w:val="0"/>
      <w:marBottom w:val="0"/>
      <w:divBdr>
        <w:top w:val="none" w:sz="0" w:space="0" w:color="auto"/>
        <w:left w:val="none" w:sz="0" w:space="0" w:color="auto"/>
        <w:bottom w:val="none" w:sz="0" w:space="0" w:color="auto"/>
        <w:right w:val="none" w:sz="0" w:space="0" w:color="auto"/>
      </w:divBdr>
      <w:divsChild>
        <w:div w:id="25447457">
          <w:marLeft w:val="0"/>
          <w:marRight w:val="0"/>
          <w:marTop w:val="0"/>
          <w:marBottom w:val="0"/>
          <w:divBdr>
            <w:top w:val="none" w:sz="0" w:space="0" w:color="auto"/>
            <w:left w:val="none" w:sz="0" w:space="0" w:color="auto"/>
            <w:bottom w:val="single" w:sz="8" w:space="0" w:color="DFDFD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genciasinc.es/Noticias/Nuevo-biosensor-para-el-analisis-de-aguas-continentales/(formato)/fotografias/(nodo)/38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agenciasin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m.es/info/gsolf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1053</Words>
  <Characters>5792</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3</cp:revision>
  <dcterms:created xsi:type="dcterms:W3CDTF">2012-06-18T08:09:00Z</dcterms:created>
  <dcterms:modified xsi:type="dcterms:W3CDTF">2012-06-19T20:41:00Z</dcterms:modified>
</cp:coreProperties>
</file>